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600" w:firstLineChars="200"/>
        <w:rPr>
          <w:rFonts w:ascii="仿宋_GB2312" w:hAnsi="华文中宋" w:eastAsia="仿宋_GB2312"/>
          <w:bCs/>
          <w:sz w:val="30"/>
          <w:szCs w:val="30"/>
        </w:rPr>
      </w:pPr>
      <w:r>
        <w:rPr>
          <w:rFonts w:hint="eastAsia" w:ascii="仿宋_GB2312" w:hAnsi="华文中宋" w:eastAsia="仿宋_GB2312"/>
          <w:bCs/>
          <w:sz w:val="30"/>
          <w:szCs w:val="30"/>
        </w:rPr>
        <w:t>附件1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华文中宋" w:eastAsia="仿宋_GB2312"/>
          <w:bCs/>
          <w:sz w:val="30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黄浦区首批人工智能示范应用案例征集的重点领域</w:t>
      </w:r>
    </w:p>
    <w:tbl>
      <w:tblPr>
        <w:tblStyle w:val="4"/>
        <w:tblW w:w="8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963"/>
        <w:gridCol w:w="1418"/>
        <w:gridCol w:w="2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AI+金融</w:t>
            </w:r>
          </w:p>
        </w:tc>
        <w:tc>
          <w:tcPr>
            <w:tcW w:w="2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智能风控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AI+城市</w:t>
            </w:r>
          </w:p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政务服务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票据智能识别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垃圾分类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数据智能分析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大客流预警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智能投顾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食品安全管理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智能客服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危化品管理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AI+健康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预检预诊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AI+教育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校园管理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疾病筛查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辅助教学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影像识别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行为评测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辅助诊疗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个性化学习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手术辅助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AI+文旅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景区智能化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康复护理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文化场馆智能化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AI+零售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无人超市、无感支付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  <w:t>AI+其他</w:t>
            </w:r>
          </w:p>
        </w:tc>
        <w:tc>
          <w:tcPr>
            <w:tcW w:w="2899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ind w:left="420"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智能导购、智能营销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ind w:left="420"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智能货架、智能配送</w:t>
            </w:r>
          </w:p>
        </w:tc>
        <w:tc>
          <w:tcPr>
            <w:tcW w:w="141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457"/>
    <w:multiLevelType w:val="multilevel"/>
    <w:tmpl w:val="1B072457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660B"/>
    <w:rsid w:val="1634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2019-10-12T05:40:00Z</dcterms:created>
  <dc:creator>ntko</dc:creator>
  <cp:lastModifiedBy>ntko</cp:lastModifiedBy>
  <dcterms:modified xsi:type="dcterms:W3CDTF">2019-10-12T05:41:44Z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